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Homosassa River Alliance</w:t>
      </w:r>
    </w:p>
    <w:p>
      <w:pPr>
        <w:pStyle w:val="Normal"/>
        <w:jc w:val="center"/>
        <w:rPr/>
      </w:pPr>
      <w:r>
        <w:rPr/>
        <w:t>October 13, 2022, Meeting Minutes</w:t>
      </w:r>
    </w:p>
    <w:p>
      <w:pPr>
        <w:pStyle w:val="Normal"/>
        <w:jc w:val="center"/>
        <w:rPr/>
      </w:pPr>
      <w:r>
        <w:rPr/>
      </w:r>
    </w:p>
    <w:p>
      <w:pPr>
        <w:pStyle w:val="Normal"/>
        <w:rPr/>
      </w:pPr>
      <w:r>
        <w:rPr>
          <w:b/>
          <w:bCs/>
        </w:rPr>
        <w:t xml:space="preserve">Call to Order: </w:t>
      </w:r>
      <w:r>
        <w:rPr/>
        <w:t>The meeting was called to order at 7:05 pm followed by the Pledge of Allegiance.</w:t>
      </w:r>
    </w:p>
    <w:p>
      <w:pPr>
        <w:pStyle w:val="Normal"/>
        <w:rPr/>
      </w:pPr>
      <w:r>
        <w:rPr>
          <w:b/>
          <w:bCs/>
        </w:rPr>
        <w:t xml:space="preserve">Prior Meeting Minutes:  </w:t>
      </w:r>
      <w:r>
        <w:rPr/>
        <w:t>Minutes of the prior meeting were read and are posted on homosassariveralliance.org website. Minutes for the prior two meetings were approved.</w:t>
      </w:r>
    </w:p>
    <w:p>
      <w:pPr>
        <w:pStyle w:val="Normal"/>
        <w:rPr/>
      </w:pPr>
      <w:r>
        <w:rPr>
          <w:b/>
          <w:bCs/>
        </w:rPr>
        <w:t xml:space="preserve">Treasurer’s Report: </w:t>
      </w:r>
      <w:r>
        <w:rPr/>
        <w:t xml:space="preserve">Beginning balance was $20,285.01. Deposits were $211.00, withdrawals were $954.00 leaving an ending balance of $19,542.01. </w:t>
      </w:r>
    </w:p>
    <w:p>
      <w:pPr>
        <w:pStyle w:val="Normal"/>
        <w:rPr/>
      </w:pPr>
      <w:r>
        <w:rPr>
          <w:b/>
          <w:bCs/>
        </w:rPr>
        <w:t xml:space="preserve">Announcements:  </w:t>
      </w:r>
      <w:r>
        <w:rPr/>
        <w:t>Raffle tickets will be sent out this month to all dues paying members from 2021 and 2022. This is HRA’s largest fund-raiser of the year. You may purchase tickets (six $2 tickets included in the mailing), pay dues, and make a donation all at the same time.  Your participation is greatly appreciated.</w:t>
      </w:r>
    </w:p>
    <w:p>
      <w:pPr>
        <w:pStyle w:val="Normal"/>
        <w:rPr/>
      </w:pPr>
      <w:r>
        <w:rPr/>
        <w:t xml:space="preserve">The newsletter will also be sent out soon. Look for it in your mailbox.   </w:t>
      </w:r>
    </w:p>
    <w:p>
      <w:pPr>
        <w:pStyle w:val="Normal"/>
        <w:rPr/>
      </w:pPr>
      <w:r>
        <w:rPr/>
        <w:t>HRA has purchased additional T-shirts to sell at the upcoming Seafood Festival. The current logo will be retired after this year.  Please share any graphic design ideas for a new T-shirt logo with Pat.</w:t>
      </w:r>
    </w:p>
    <w:p>
      <w:pPr>
        <w:pStyle w:val="Normal"/>
        <w:rPr/>
      </w:pPr>
      <w:r>
        <w:rPr/>
        <w:t>Florida Springs Council (FSC) – on October 20</w:t>
      </w:r>
      <w:r>
        <w:rPr>
          <w:vertAlign w:val="superscript"/>
        </w:rPr>
        <w:t>th</w:t>
      </w:r>
      <w:r>
        <w:rPr/>
        <w:t xml:space="preserve"> the First District Court of Appeals will hear oral arguments to determine if FSC has the right to challenge the permit that allows Seven Springs Water Company to withdraw nearly one million gallons a day from Ginnie Spring to sell to Nestle (now called BlueTriton).  There will be a gathering at Azalea City Brewing Company in Palatka following the court activity from 5 – 9 pm. Throughout October, drink tabs at Azalea City Brewing can be rounded up with proceeds benefitting FSC.</w:t>
      </w:r>
    </w:p>
    <w:p>
      <w:pPr>
        <w:pStyle w:val="Normal"/>
        <w:rPr/>
      </w:pPr>
      <w:r>
        <w:rPr/>
        <w:t>Homosassa Arts, Crafts, and Seafood Festival sponsored by the Civic Club will be 11/12 and 11/13. Approximately 12,000 people attended the festival last year.  Volunteers are needed at the HRA booth to sell T-shirts and educate the public about our organization.</w:t>
        <w:br/>
      </w:r>
    </w:p>
    <w:p>
      <w:pPr>
        <w:pStyle w:val="Normal"/>
        <w:rPr>
          <w:b/>
          <w:b/>
          <w:bCs/>
        </w:rPr>
      </w:pPr>
      <w:r>
        <w:rPr>
          <w:b/>
          <w:bCs/>
        </w:rPr>
        <w:t>Guest Speakers:</w:t>
      </w:r>
    </w:p>
    <w:p>
      <w:pPr>
        <w:pStyle w:val="Normal"/>
        <w:rPr/>
      </w:pPr>
      <w:r>
        <w:rPr>
          <w:b/>
          <w:bCs/>
        </w:rPr>
        <w:t xml:space="preserve">Citrus County Commissioner, Holly Davis – </w:t>
      </w:r>
      <w:r>
        <w:rPr/>
        <w:t xml:space="preserve">provided information regarding Citrus County’s strategic plan development. The first phase of the plan included creation of Vision and Mission Statements in April, 2022.  The Vision is a welcoming, economically vibrant community where people and nature live in harmony. </w:t>
      </w:r>
    </w:p>
    <w:p>
      <w:pPr>
        <w:pStyle w:val="Normal"/>
        <w:rPr/>
      </w:pPr>
      <w:r>
        <w:rPr/>
        <w:t xml:space="preserve"> </w:t>
      </w:r>
      <w:r>
        <w:rPr/>
        <w:t>She requested citizens submit ideas for Strategic Initiatives for the BOCC to work on in the next 5 years. You may access a survey link at CitrusBOCC.com/townhall by 10/31/2022 to submit suggestions.</w:t>
      </w:r>
    </w:p>
    <w:p>
      <w:pPr>
        <w:pStyle w:val="Normal"/>
        <w:rPr>
          <w:b/>
          <w:b/>
          <w:bCs/>
        </w:rPr>
      </w:pPr>
      <w:r>
        <w:rPr>
          <w:b/>
          <w:bCs/>
        </w:rPr>
      </w:r>
    </w:p>
    <w:p>
      <w:pPr>
        <w:pStyle w:val="Normal"/>
        <w:rPr/>
      </w:pPr>
      <w:r>
        <w:rPr>
          <w:b/>
          <w:bCs/>
        </w:rPr>
        <w:t>Joyce Palmer and Joyce Kleen –</w:t>
      </w:r>
      <w:r>
        <w:rPr/>
        <w:t xml:space="preserve"> from the Crystal River National Wildlife Refuge which has a staff of ten. Wildlife refuges differ from national parks in that they are established to protect wildlife. There are a total of 568 refuges across the country including 5 in our area. </w:t>
      </w:r>
    </w:p>
    <w:p>
      <w:pPr>
        <w:pStyle w:val="ListParagraph"/>
        <w:numPr>
          <w:ilvl w:val="0"/>
          <w:numId w:val="2"/>
        </w:numPr>
        <w:rPr/>
      </w:pPr>
      <w:r>
        <w:rPr/>
        <w:t>Egmont Key – is a 250-acre barrier island established as a refuge in 1974. It supports a decreasing population of nesting, migratory, and wintering birds. It also provides habitat for nesting loggerhead sea turtles and has a large population of gopher tortoises and box turtles.</w:t>
      </w:r>
    </w:p>
    <w:p>
      <w:pPr>
        <w:pStyle w:val="ListParagraph"/>
        <w:numPr>
          <w:ilvl w:val="0"/>
          <w:numId w:val="2"/>
        </w:numPr>
        <w:rPr/>
      </w:pPr>
      <w:r>
        <w:rPr/>
        <w:t>Passage Key – was established as a refuge in 1905. No public access is permitted as this refuge has severely eroded.</w:t>
      </w:r>
    </w:p>
    <w:p>
      <w:pPr>
        <w:pStyle w:val="ListParagraph"/>
        <w:numPr>
          <w:ilvl w:val="0"/>
          <w:numId w:val="2"/>
        </w:numPr>
        <w:rPr/>
      </w:pPr>
      <w:r>
        <w:rPr/>
        <w:t>Pinellas National Wildlife Refuge – was established as a refuge in 1922. No public access is permitted at this time.</w:t>
      </w:r>
    </w:p>
    <w:p>
      <w:pPr>
        <w:pStyle w:val="ListParagraph"/>
        <w:numPr>
          <w:ilvl w:val="0"/>
          <w:numId w:val="2"/>
        </w:numPr>
        <w:rPr/>
      </w:pPr>
      <w:r>
        <w:rPr/>
        <w:t xml:space="preserve">Crystal River National Wildlife Refuge – established in 1983, this refuge was created specifically for the protection of manatees. It consists of 179 acres including several islands and 40 acres of winter manatee sanctuaries. It is currently open to the public but will be closing 4/1/2023 for shoreline restoration. </w:t>
      </w:r>
    </w:p>
    <w:p>
      <w:pPr>
        <w:pStyle w:val="ListParagraph"/>
        <w:numPr>
          <w:ilvl w:val="0"/>
          <w:numId w:val="2"/>
        </w:numPr>
        <w:rPr/>
      </w:pPr>
      <w:r>
        <w:rPr/>
        <w:t>Chassahowitzka National Wildlife Refuge – this 30,000-acre refuge was established in 1941 and includes 17,000 acres in Citrus County. It is summer home to 50 manatees, approximately 20 bears, and is the site that was used to reintroduce whooping cranes to the area. The refuge is open to the public for fishing, crabbing, scalloping, photography, and observation and is accessible only by boat.</w:t>
        <w:br/>
      </w:r>
    </w:p>
    <w:p>
      <w:pPr>
        <w:pStyle w:val="Normal"/>
        <w:rPr/>
      </w:pPr>
      <w:r>
        <w:rPr/>
        <w:t xml:space="preserve">Refuge Headquarters are located at 1502 SE Kings Bay Dr., Crystal River. Admission is free to the Visitor Center which is open Monday – Friday from 9 am to 4 pm. </w:t>
      </w:r>
    </w:p>
    <w:p>
      <w:pPr>
        <w:pStyle w:val="Normal"/>
        <w:rPr>
          <w:b/>
          <w:b/>
          <w:bCs/>
        </w:rPr>
      </w:pPr>
      <w:r>
        <w:rPr>
          <w:b/>
          <w:bCs/>
        </w:rPr>
      </w:r>
    </w:p>
    <w:p>
      <w:pPr>
        <w:pStyle w:val="Normal"/>
        <w:rPr>
          <w:b/>
          <w:b/>
          <w:bCs/>
        </w:rPr>
      </w:pPr>
      <w:r>
        <w:rPr>
          <w:b/>
          <w:bCs/>
        </w:rPr>
        <w:t xml:space="preserve">Projects Status: </w:t>
      </w:r>
    </w:p>
    <w:p>
      <w:pPr>
        <w:pStyle w:val="ListParagraph"/>
        <w:numPr>
          <w:ilvl w:val="0"/>
          <w:numId w:val="1"/>
        </w:numPr>
        <w:rPr/>
      </w:pPr>
      <w:r>
        <w:rPr/>
        <w:t xml:space="preserve">River Restoration – crews are working hard and are on schedule expecting to complete the targeted area for this phase of the project before manatee season begins.  Funding for next year to continue restoration efforts is uncertain at this time. </w:t>
      </w:r>
    </w:p>
    <w:p>
      <w:pPr>
        <w:pStyle w:val="ListParagraph"/>
        <w:numPr>
          <w:ilvl w:val="0"/>
          <w:numId w:val="1"/>
        </w:numPr>
        <w:rPr/>
      </w:pPr>
      <w:r>
        <w:rPr/>
        <w:t xml:space="preserve">Spring Cove Septic to Sewer – the county is in the process of securing right-of-way access to private roads for the project. </w:t>
      </w:r>
    </w:p>
    <w:p>
      <w:pPr>
        <w:pStyle w:val="Normal"/>
        <w:rPr/>
      </w:pPr>
      <w:r>
        <w:rPr/>
      </w:r>
    </w:p>
    <w:p>
      <w:pPr>
        <w:pStyle w:val="Normal"/>
        <w:rPr>
          <w:b/>
          <w:b/>
          <w:bCs/>
        </w:rPr>
      </w:pPr>
      <w:r>
        <w:rPr>
          <w:b/>
          <w:bCs/>
        </w:rPr>
        <w:t>Awareness Concerns:</w:t>
      </w:r>
    </w:p>
    <w:p>
      <w:pPr>
        <w:pStyle w:val="ListParagraph"/>
        <w:numPr>
          <w:ilvl w:val="0"/>
          <w:numId w:val="1"/>
        </w:numPr>
        <w:rPr/>
      </w:pPr>
      <w:r>
        <w:rPr/>
        <w:t>Noise Ordinance – FWC requested an amendment to the ordinance to exclude engine and exhaust noise.  Once completed, signs will be posted along the river.</w:t>
        <w:br/>
      </w:r>
    </w:p>
    <w:p>
      <w:pPr>
        <w:pStyle w:val="Normal"/>
        <w:rPr/>
      </w:pPr>
      <w:r>
        <w:rPr/>
        <w:t>The meeting was adjourned at 8:30 pm. The next meeting will be on November 10th.</w:t>
      </w:r>
    </w:p>
    <w:p>
      <w:pPr>
        <w:pStyle w:val="Normal"/>
        <w:widowControl/>
        <w:bidi w:val="0"/>
        <w:spacing w:lineRule="auto" w:line="259" w:before="0" w:after="16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331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qFormat/>
    <w:rsid w:val="005d5d95"/>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00aa3"/>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dd205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Application>Neat_Office/6.2.8.2$Windows_x86 LibreOffice_project/</Application>
  <Pages>2</Pages>
  <Words>757</Words>
  <Characters>3918</Characters>
  <CharactersWithSpaces>4678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2022-10-28T15:37:00Z</dcterms:created>
  <dc:creator>Runyon, Alecia K</dc:creator>
  <dc:description/>
  <dc:language>en-US</dc:language>
  <cp:lastModifiedBy>Runyon, Alecia K</cp:lastModifiedBy>
  <dcterms:modified xsi:type="dcterms:W3CDTF">2022-10-29T15:37:00Z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MSIP_Label_320f21ee-9bdc-4991-8abe-58f53448e302_ActionId">
    <vt:lpwstr>78829ac6-50d6-4cdd-8046-cd83b9772249</vt:lpwstr>
  </property>
  <property fmtid="{D5CDD505-2E9C-101B-9397-08002B2CF9AE}" pid="7" name="MSIP_Label_320f21ee-9bdc-4991-8abe-58f53448e302_ContentBits">
    <vt:lpwstr>0</vt:lpwstr>
  </property>
  <property fmtid="{D5CDD505-2E9C-101B-9397-08002B2CF9AE}" pid="8" name="MSIP_Label_320f21ee-9bdc-4991-8abe-58f53448e302_Enabled">
    <vt:lpwstr>true</vt:lpwstr>
  </property>
  <property fmtid="{D5CDD505-2E9C-101B-9397-08002B2CF9AE}" pid="9" name="MSIP_Label_320f21ee-9bdc-4991-8abe-58f53448e302_Method">
    <vt:lpwstr>Privileged</vt:lpwstr>
  </property>
  <property fmtid="{D5CDD505-2E9C-101B-9397-08002B2CF9AE}" pid="10" name="MSIP_Label_320f21ee-9bdc-4991-8abe-58f53448e302_Name">
    <vt:lpwstr>External Label</vt:lpwstr>
  </property>
  <property fmtid="{D5CDD505-2E9C-101B-9397-08002B2CF9AE}" pid="11" name="MSIP_Label_320f21ee-9bdc-4991-8abe-58f53448e302_SetDate">
    <vt:lpwstr>2022-10-28T15:36:43Z</vt:lpwstr>
  </property>
  <property fmtid="{D5CDD505-2E9C-101B-9397-08002B2CF9AE}" pid="12" name="MSIP_Label_320f21ee-9bdc-4991-8abe-58f53448e302_SiteId">
    <vt:lpwstr>db05faca-c82a-4b9d-b9c5-0f64b6755421</vt:lpwstr>
  </property>
  <property fmtid="{D5CDD505-2E9C-101B-9397-08002B2CF9AE}" pid="13" name="ScaleCrop">
    <vt:bool>0</vt:bool>
  </property>
  <property fmtid="{D5CDD505-2E9C-101B-9397-08002B2CF9AE}" pid="14" name="ShareDoc">
    <vt:bool>0</vt:bool>
  </property>
</Properties>
</file>